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riekatabuky"/>
        <w:tblW w:w="0" w:type="auto"/>
        <w:tblLook w:val="04A0"/>
      </w:tblPr>
      <w:tblGrid>
        <w:gridCol w:w="5637"/>
        <w:gridCol w:w="3575"/>
      </w:tblGrid>
      <w:tr w:rsidR="00B01210" w:rsidRPr="00F91C86" w:rsidTr="00B01210">
        <w:tc>
          <w:tcPr>
            <w:tcW w:w="5637" w:type="dxa"/>
          </w:tcPr>
          <w:p w:rsidR="00B01210" w:rsidRPr="00F91C86" w:rsidRDefault="00B01210" w:rsidP="00F91C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1C86">
              <w:rPr>
                <w:rFonts w:ascii="Arial" w:hAnsi="Arial" w:cs="Arial"/>
                <w:b/>
                <w:sz w:val="24"/>
                <w:szCs w:val="24"/>
              </w:rPr>
              <w:t>Kategória článku:</w:t>
            </w:r>
            <w:r w:rsidRPr="00F91C86">
              <w:rPr>
                <w:rFonts w:ascii="Arial" w:hAnsi="Arial" w:cs="Arial"/>
                <w:sz w:val="24"/>
                <w:szCs w:val="24"/>
              </w:rPr>
              <w:t xml:space="preserve">      drevárske</w:t>
            </w:r>
          </w:p>
        </w:tc>
        <w:tc>
          <w:tcPr>
            <w:tcW w:w="3575" w:type="dxa"/>
          </w:tcPr>
          <w:p w:rsidR="00B01210" w:rsidRPr="00F91C86" w:rsidRDefault="00B01210" w:rsidP="00F91C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1C86">
              <w:rPr>
                <w:rFonts w:ascii="Arial" w:hAnsi="Arial" w:cs="Arial"/>
                <w:b/>
                <w:sz w:val="24"/>
                <w:szCs w:val="24"/>
              </w:rPr>
              <w:t>Číslo článku:</w:t>
            </w:r>
            <w:r w:rsidRPr="00F91C86">
              <w:rPr>
                <w:rFonts w:ascii="Arial" w:hAnsi="Arial" w:cs="Arial"/>
                <w:sz w:val="24"/>
                <w:szCs w:val="24"/>
              </w:rPr>
              <w:t xml:space="preserve">         00</w:t>
            </w:r>
            <w:r w:rsidR="004961AC">
              <w:rPr>
                <w:rFonts w:ascii="Arial" w:hAnsi="Arial" w:cs="Arial"/>
                <w:sz w:val="24"/>
                <w:szCs w:val="24"/>
              </w:rPr>
              <w:t>1</w:t>
            </w:r>
            <w:r w:rsidR="001D4C3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:rsidR="00B01210" w:rsidRPr="001D4C39" w:rsidRDefault="00B01210" w:rsidP="001D4C3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6B5A5E" w:rsidRPr="001D4C39" w:rsidRDefault="006B5A5E" w:rsidP="001D4C3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1D4C39">
        <w:rPr>
          <w:rFonts w:ascii="Arial" w:hAnsi="Arial" w:cs="Arial"/>
          <w:b/>
          <w:sz w:val="24"/>
          <w:szCs w:val="24"/>
        </w:rPr>
        <w:t>Autor:</w:t>
      </w:r>
      <w:r w:rsidRPr="001D4C39">
        <w:rPr>
          <w:rFonts w:ascii="Arial" w:hAnsi="Arial" w:cs="Arial"/>
          <w:sz w:val="24"/>
          <w:szCs w:val="24"/>
        </w:rPr>
        <w:t xml:space="preserve">  </w:t>
      </w:r>
      <w:r w:rsidR="001D4C39">
        <w:rPr>
          <w:rFonts w:ascii="Arial" w:hAnsi="Arial" w:cs="Arial"/>
          <w:sz w:val="24"/>
          <w:szCs w:val="24"/>
        </w:rPr>
        <w:t xml:space="preserve">        </w:t>
      </w:r>
      <w:r w:rsidR="001D4C39" w:rsidRPr="001D4C39">
        <w:rPr>
          <w:rFonts w:ascii="Arial" w:hAnsi="Arial" w:cs="Arial"/>
          <w:sz w:val="24"/>
          <w:szCs w:val="24"/>
        </w:rPr>
        <w:t>LADISLAV REINPRECHT</w:t>
      </w:r>
      <w:r w:rsidR="00E43C49" w:rsidRPr="001D4C39">
        <w:rPr>
          <w:rFonts w:ascii="Arial" w:hAnsi="Arial" w:cs="Arial"/>
          <w:sz w:val="24"/>
          <w:szCs w:val="24"/>
        </w:rPr>
        <w:t xml:space="preserve">   </w:t>
      </w:r>
      <w:r w:rsidR="006D2B5C" w:rsidRPr="001D4C39">
        <w:rPr>
          <w:rFonts w:ascii="Arial" w:hAnsi="Arial" w:cs="Arial"/>
          <w:sz w:val="24"/>
          <w:szCs w:val="24"/>
        </w:rPr>
        <w:t xml:space="preserve">   </w:t>
      </w:r>
      <w:r w:rsidR="00C34941" w:rsidRPr="001D4C39">
        <w:rPr>
          <w:rFonts w:ascii="Arial" w:hAnsi="Arial" w:cs="Arial"/>
          <w:sz w:val="24"/>
          <w:szCs w:val="24"/>
        </w:rPr>
        <w:t xml:space="preserve">   </w:t>
      </w:r>
      <w:r w:rsidR="006D2B5C" w:rsidRPr="001D4C39">
        <w:rPr>
          <w:rFonts w:ascii="Arial" w:hAnsi="Arial" w:cs="Arial"/>
          <w:sz w:val="24"/>
          <w:szCs w:val="24"/>
        </w:rPr>
        <w:t xml:space="preserve">   </w:t>
      </w:r>
    </w:p>
    <w:p w:rsidR="001D4C39" w:rsidRDefault="00B01210" w:rsidP="001D4C39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1D4C39">
        <w:rPr>
          <w:rFonts w:ascii="Arial" w:hAnsi="Arial" w:cs="Arial"/>
          <w:b/>
          <w:sz w:val="24"/>
          <w:szCs w:val="24"/>
        </w:rPr>
        <w:t>Názov:</w:t>
      </w:r>
      <w:r w:rsidRPr="001D4C39">
        <w:rPr>
          <w:rFonts w:ascii="Arial" w:hAnsi="Arial" w:cs="Arial"/>
          <w:sz w:val="24"/>
          <w:szCs w:val="24"/>
        </w:rPr>
        <w:t xml:space="preserve">    </w:t>
      </w:r>
      <w:r w:rsidR="00C34941" w:rsidRPr="001D4C39">
        <w:rPr>
          <w:rFonts w:ascii="Arial" w:hAnsi="Arial" w:cs="Arial"/>
          <w:sz w:val="24"/>
          <w:szCs w:val="24"/>
        </w:rPr>
        <w:t xml:space="preserve"> </w:t>
      </w:r>
      <w:r w:rsidR="004961AC" w:rsidRPr="001D4C39">
        <w:rPr>
          <w:rFonts w:ascii="Arial" w:hAnsi="Arial" w:cs="Arial"/>
          <w:sz w:val="24"/>
          <w:szCs w:val="24"/>
        </w:rPr>
        <w:t xml:space="preserve"> </w:t>
      </w:r>
      <w:r w:rsidR="001D4C39" w:rsidRPr="001D4C39">
        <w:rPr>
          <w:rFonts w:ascii="Arial" w:hAnsi="Arial" w:cs="Arial"/>
          <w:sz w:val="24"/>
          <w:szCs w:val="24"/>
        </w:rPr>
        <w:t>CHARAKTERIZÁCIA ŠTÁDIÍ DEŠTRUKTÍVNEJ</w:t>
      </w:r>
      <w:r w:rsidR="001D4C39">
        <w:rPr>
          <w:rFonts w:ascii="Arial" w:hAnsi="Arial" w:cs="Arial"/>
          <w:sz w:val="24"/>
          <w:szCs w:val="24"/>
        </w:rPr>
        <w:t xml:space="preserve"> </w:t>
      </w:r>
      <w:r w:rsidR="001D4C39" w:rsidRPr="001D4C39">
        <w:rPr>
          <w:rFonts w:ascii="Arial" w:hAnsi="Arial" w:cs="Arial"/>
          <w:sz w:val="24"/>
          <w:szCs w:val="24"/>
        </w:rPr>
        <w:t xml:space="preserve">HNILOBY DREVÍN </w:t>
      </w:r>
    </w:p>
    <w:p w:rsidR="00B01210" w:rsidRPr="001D4C39" w:rsidRDefault="001D4C39" w:rsidP="001D4C39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1D4C39">
        <w:rPr>
          <w:rFonts w:ascii="Arial" w:hAnsi="Arial" w:cs="Arial"/>
          <w:sz w:val="24"/>
          <w:szCs w:val="24"/>
        </w:rPr>
        <w:t>PROSTREDNÍCTVOM VYBRANÝCH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MECHANICKÝCH VLASTNOSTÍ A</w:t>
      </w:r>
      <w:r>
        <w:rPr>
          <w:rFonts w:ascii="Arial" w:hAnsi="Arial" w:cs="Arial"/>
          <w:sz w:val="24"/>
          <w:szCs w:val="24"/>
        </w:rPr>
        <w:t> </w:t>
      </w:r>
      <w:r w:rsidRPr="001D4C39">
        <w:rPr>
          <w:rFonts w:ascii="Arial" w:hAnsi="Arial" w:cs="Arial"/>
          <w:sz w:val="24"/>
          <w:szCs w:val="24"/>
        </w:rPr>
        <w:t>CHEMICKÝCH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ROZBOROV</w:t>
      </w:r>
      <w:r>
        <w:rPr>
          <w:rFonts w:ascii="Arial" w:hAnsi="Arial" w:cs="Arial"/>
          <w:sz w:val="24"/>
          <w:szCs w:val="24"/>
        </w:rPr>
        <w:t xml:space="preserve">. </w:t>
      </w:r>
      <w:r w:rsidRPr="001D4C39">
        <w:rPr>
          <w:rFonts w:ascii="Arial" w:hAnsi="Arial" w:cs="Arial"/>
          <w:sz w:val="24"/>
          <w:szCs w:val="24"/>
        </w:rPr>
        <w:t>ČASŤ I. HNILOBA DREVÍN LIPY, BUKA A JAVORA</w:t>
      </w:r>
    </w:p>
    <w:p w:rsidR="00B01210" w:rsidRPr="001D4C39" w:rsidRDefault="00B01210" w:rsidP="001D4C3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1D4C39">
        <w:rPr>
          <w:rFonts w:ascii="Arial" w:hAnsi="Arial" w:cs="Arial"/>
          <w:b/>
          <w:sz w:val="24"/>
          <w:szCs w:val="24"/>
        </w:rPr>
        <w:t>Názov publikácie:</w:t>
      </w:r>
      <w:r w:rsidRPr="001D4C39">
        <w:rPr>
          <w:rFonts w:ascii="Arial" w:hAnsi="Arial" w:cs="Arial"/>
          <w:sz w:val="24"/>
          <w:szCs w:val="24"/>
        </w:rPr>
        <w:t xml:space="preserve"> D</w:t>
      </w:r>
      <w:r w:rsidR="005F1254" w:rsidRPr="001D4C39">
        <w:rPr>
          <w:rFonts w:ascii="Arial" w:hAnsi="Arial" w:cs="Arial"/>
          <w:sz w:val="24"/>
          <w:szCs w:val="24"/>
        </w:rPr>
        <w:t>R</w:t>
      </w:r>
      <w:r w:rsidR="00B84D88" w:rsidRPr="001D4C39">
        <w:rPr>
          <w:rFonts w:ascii="Arial" w:hAnsi="Arial" w:cs="Arial"/>
          <w:sz w:val="24"/>
          <w:szCs w:val="24"/>
        </w:rPr>
        <w:t xml:space="preserve">EVÁRSKY VÝSKUM, </w:t>
      </w:r>
      <w:r w:rsidR="001D4C39" w:rsidRPr="001D4C39">
        <w:rPr>
          <w:rFonts w:ascii="Arial" w:hAnsi="Arial" w:cs="Arial"/>
          <w:sz w:val="24"/>
          <w:szCs w:val="24"/>
        </w:rPr>
        <w:t>Ročník 1991</w:t>
      </w:r>
      <w:r w:rsidR="005F1254" w:rsidRPr="001D4C39">
        <w:rPr>
          <w:rFonts w:ascii="Arial" w:hAnsi="Arial" w:cs="Arial"/>
          <w:sz w:val="24"/>
          <w:szCs w:val="24"/>
        </w:rPr>
        <w:t>, Zväzok 1</w:t>
      </w:r>
      <w:r w:rsidR="001D4C39" w:rsidRPr="001D4C39">
        <w:rPr>
          <w:rFonts w:ascii="Arial" w:hAnsi="Arial" w:cs="Arial"/>
          <w:sz w:val="24"/>
          <w:szCs w:val="24"/>
        </w:rPr>
        <w:t>29</w:t>
      </w:r>
      <w:r w:rsidR="00B84D88" w:rsidRPr="001D4C39">
        <w:rPr>
          <w:rFonts w:ascii="Arial" w:hAnsi="Arial" w:cs="Arial"/>
          <w:sz w:val="24"/>
          <w:szCs w:val="24"/>
        </w:rPr>
        <w:t xml:space="preserve">, </w:t>
      </w:r>
      <w:r w:rsidR="001D4C39" w:rsidRPr="001D4C39">
        <w:rPr>
          <w:rFonts w:ascii="Arial" w:hAnsi="Arial" w:cs="Arial"/>
          <w:sz w:val="24"/>
          <w:szCs w:val="24"/>
        </w:rPr>
        <w:t>str.43- 62</w:t>
      </w:r>
    </w:p>
    <w:p w:rsidR="006B5A5E" w:rsidRPr="001D4C39" w:rsidRDefault="006B5A5E" w:rsidP="001D4C3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1D4C39">
        <w:rPr>
          <w:rFonts w:ascii="Arial" w:hAnsi="Arial" w:cs="Arial"/>
          <w:b/>
          <w:sz w:val="24"/>
          <w:szCs w:val="24"/>
        </w:rPr>
        <w:t>Počet strán:</w:t>
      </w:r>
      <w:r w:rsidRPr="001D4C39">
        <w:rPr>
          <w:rFonts w:ascii="Arial" w:hAnsi="Arial" w:cs="Arial"/>
          <w:sz w:val="24"/>
          <w:szCs w:val="24"/>
        </w:rPr>
        <w:t xml:space="preserve">   </w:t>
      </w:r>
      <w:r w:rsidR="00C34941" w:rsidRPr="001D4C39">
        <w:rPr>
          <w:rFonts w:ascii="Arial" w:hAnsi="Arial" w:cs="Arial"/>
          <w:sz w:val="24"/>
          <w:szCs w:val="24"/>
        </w:rPr>
        <w:t xml:space="preserve">  </w:t>
      </w:r>
      <w:r w:rsidR="001D4C39">
        <w:rPr>
          <w:rFonts w:ascii="Arial" w:hAnsi="Arial" w:cs="Arial"/>
          <w:sz w:val="24"/>
          <w:szCs w:val="24"/>
        </w:rPr>
        <w:t xml:space="preserve">    </w:t>
      </w:r>
      <w:r w:rsidR="00C34941" w:rsidRPr="001D4C39">
        <w:rPr>
          <w:rFonts w:ascii="Arial" w:hAnsi="Arial" w:cs="Arial"/>
          <w:sz w:val="24"/>
          <w:szCs w:val="24"/>
        </w:rPr>
        <w:t xml:space="preserve"> </w:t>
      </w:r>
      <w:r w:rsidR="001D4C39" w:rsidRPr="001D4C39">
        <w:rPr>
          <w:rFonts w:ascii="Arial" w:hAnsi="Arial" w:cs="Arial"/>
          <w:sz w:val="24"/>
          <w:szCs w:val="24"/>
        </w:rPr>
        <w:t>15</w:t>
      </w:r>
      <w:r w:rsidR="00C34941" w:rsidRPr="001D4C39">
        <w:rPr>
          <w:rFonts w:ascii="Arial" w:hAnsi="Arial" w:cs="Arial"/>
          <w:sz w:val="24"/>
          <w:szCs w:val="24"/>
        </w:rPr>
        <w:t xml:space="preserve">   </w:t>
      </w:r>
      <w:r w:rsidR="000C64D0" w:rsidRPr="001D4C39">
        <w:rPr>
          <w:rFonts w:ascii="Arial" w:hAnsi="Arial" w:cs="Arial"/>
          <w:sz w:val="24"/>
          <w:szCs w:val="24"/>
        </w:rPr>
        <w:t xml:space="preserve">  </w:t>
      </w:r>
      <w:r w:rsidR="008B7AF8" w:rsidRPr="001D4C39">
        <w:rPr>
          <w:rFonts w:ascii="Arial" w:hAnsi="Arial" w:cs="Arial"/>
          <w:sz w:val="24"/>
          <w:szCs w:val="24"/>
        </w:rPr>
        <w:t xml:space="preserve"> </w:t>
      </w:r>
      <w:r w:rsidR="000C64D0" w:rsidRPr="001D4C39">
        <w:rPr>
          <w:rFonts w:ascii="Arial" w:hAnsi="Arial" w:cs="Arial"/>
          <w:sz w:val="24"/>
          <w:szCs w:val="24"/>
        </w:rPr>
        <w:t xml:space="preserve">  </w:t>
      </w:r>
      <w:r w:rsidRPr="001D4C39">
        <w:rPr>
          <w:rFonts w:ascii="Arial" w:hAnsi="Arial" w:cs="Arial"/>
          <w:sz w:val="24"/>
          <w:szCs w:val="24"/>
        </w:rPr>
        <w:t xml:space="preserve">   </w:t>
      </w:r>
      <w:r w:rsidR="004961AC" w:rsidRPr="001D4C39">
        <w:rPr>
          <w:rFonts w:ascii="Arial" w:hAnsi="Arial" w:cs="Arial"/>
          <w:sz w:val="24"/>
          <w:szCs w:val="24"/>
        </w:rPr>
        <w:t xml:space="preserve">  </w:t>
      </w:r>
      <w:r w:rsidRPr="001D4C39">
        <w:rPr>
          <w:rFonts w:ascii="Arial" w:hAnsi="Arial" w:cs="Arial"/>
          <w:sz w:val="24"/>
          <w:szCs w:val="24"/>
        </w:rPr>
        <w:t xml:space="preserve"> </w:t>
      </w:r>
    </w:p>
    <w:p w:rsidR="006B5A5E" w:rsidRPr="001D4C39" w:rsidRDefault="006B5A5E" w:rsidP="001D4C3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1D4C39">
        <w:rPr>
          <w:rFonts w:ascii="Arial" w:hAnsi="Arial" w:cs="Arial"/>
          <w:b/>
          <w:sz w:val="24"/>
          <w:szCs w:val="24"/>
        </w:rPr>
        <w:t xml:space="preserve">Počet tabuliek: </w:t>
      </w:r>
      <w:r w:rsidRPr="001D4C39">
        <w:rPr>
          <w:rFonts w:ascii="Arial" w:hAnsi="Arial" w:cs="Arial"/>
          <w:sz w:val="24"/>
          <w:szCs w:val="24"/>
        </w:rPr>
        <w:t xml:space="preserve"> </w:t>
      </w:r>
      <w:r w:rsidR="004961AC" w:rsidRPr="001D4C39">
        <w:rPr>
          <w:rFonts w:ascii="Arial" w:hAnsi="Arial" w:cs="Arial"/>
          <w:sz w:val="24"/>
          <w:szCs w:val="24"/>
        </w:rPr>
        <w:t xml:space="preserve"> </w:t>
      </w:r>
      <w:r w:rsidR="000C64D0" w:rsidRPr="001D4C39">
        <w:rPr>
          <w:rFonts w:ascii="Arial" w:hAnsi="Arial" w:cs="Arial"/>
          <w:sz w:val="24"/>
          <w:szCs w:val="24"/>
        </w:rPr>
        <w:t xml:space="preserve"> </w:t>
      </w:r>
      <w:r w:rsidR="001D4C39">
        <w:rPr>
          <w:rFonts w:ascii="Arial" w:hAnsi="Arial" w:cs="Arial"/>
          <w:sz w:val="24"/>
          <w:szCs w:val="24"/>
        </w:rPr>
        <w:t xml:space="preserve">  </w:t>
      </w:r>
      <w:r w:rsidR="004961AC" w:rsidRPr="001D4C39">
        <w:rPr>
          <w:rFonts w:ascii="Arial" w:hAnsi="Arial" w:cs="Arial"/>
          <w:sz w:val="24"/>
          <w:szCs w:val="24"/>
        </w:rPr>
        <w:t xml:space="preserve"> </w:t>
      </w:r>
      <w:r w:rsidR="001D4C39" w:rsidRPr="001D4C39">
        <w:rPr>
          <w:rFonts w:ascii="Arial" w:hAnsi="Arial" w:cs="Arial"/>
          <w:sz w:val="24"/>
          <w:szCs w:val="24"/>
        </w:rPr>
        <w:t>3</w:t>
      </w:r>
      <w:r w:rsidR="004961AC" w:rsidRPr="001D4C39">
        <w:rPr>
          <w:rFonts w:ascii="Arial" w:hAnsi="Arial" w:cs="Arial"/>
          <w:sz w:val="24"/>
          <w:szCs w:val="24"/>
        </w:rPr>
        <w:t xml:space="preserve">  </w:t>
      </w:r>
      <w:r w:rsidRPr="001D4C39">
        <w:rPr>
          <w:rFonts w:ascii="Arial" w:hAnsi="Arial" w:cs="Arial"/>
          <w:sz w:val="24"/>
          <w:szCs w:val="24"/>
        </w:rPr>
        <w:t xml:space="preserve">   </w:t>
      </w:r>
    </w:p>
    <w:p w:rsidR="006B5A5E" w:rsidRPr="001D4C39" w:rsidRDefault="006B5A5E" w:rsidP="001D4C3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1D4C39">
        <w:rPr>
          <w:rFonts w:ascii="Arial" w:hAnsi="Arial" w:cs="Arial"/>
          <w:b/>
          <w:sz w:val="24"/>
          <w:szCs w:val="24"/>
        </w:rPr>
        <w:t>Počet obrázkov:</w:t>
      </w:r>
      <w:r w:rsidR="004961AC" w:rsidRPr="001D4C39">
        <w:rPr>
          <w:rFonts w:ascii="Arial" w:hAnsi="Arial" w:cs="Arial"/>
          <w:b/>
          <w:sz w:val="24"/>
          <w:szCs w:val="24"/>
        </w:rPr>
        <w:t xml:space="preserve">  </w:t>
      </w:r>
      <w:r w:rsidR="00C34941" w:rsidRPr="001D4C39">
        <w:rPr>
          <w:rFonts w:ascii="Arial" w:hAnsi="Arial" w:cs="Arial"/>
          <w:b/>
          <w:sz w:val="24"/>
          <w:szCs w:val="24"/>
        </w:rPr>
        <w:t xml:space="preserve">  </w:t>
      </w:r>
      <w:r w:rsidR="001D4C39" w:rsidRPr="001D4C39">
        <w:rPr>
          <w:rFonts w:ascii="Arial" w:hAnsi="Arial" w:cs="Arial"/>
          <w:sz w:val="24"/>
          <w:szCs w:val="24"/>
        </w:rPr>
        <w:t>6</w:t>
      </w:r>
    </w:p>
    <w:p w:rsidR="006B5A5E" w:rsidRPr="001D4C39" w:rsidRDefault="006B5A5E" w:rsidP="001D4C3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D4C39">
        <w:rPr>
          <w:rFonts w:ascii="Arial" w:hAnsi="Arial" w:cs="Arial"/>
          <w:b/>
          <w:sz w:val="24"/>
          <w:szCs w:val="24"/>
        </w:rPr>
        <w:t xml:space="preserve">Počet grafov: </w:t>
      </w:r>
      <w:r w:rsidRPr="001D4C39">
        <w:rPr>
          <w:rFonts w:ascii="Arial" w:hAnsi="Arial" w:cs="Arial"/>
          <w:sz w:val="24"/>
          <w:szCs w:val="24"/>
        </w:rPr>
        <w:t xml:space="preserve">    </w:t>
      </w:r>
      <w:r w:rsidR="004961AC" w:rsidRPr="001D4C39">
        <w:rPr>
          <w:rFonts w:ascii="Arial" w:hAnsi="Arial" w:cs="Arial"/>
          <w:sz w:val="24"/>
          <w:szCs w:val="24"/>
        </w:rPr>
        <w:t xml:space="preserve">  </w:t>
      </w:r>
      <w:r w:rsidR="001D4C39">
        <w:rPr>
          <w:rFonts w:ascii="Arial" w:hAnsi="Arial" w:cs="Arial"/>
          <w:sz w:val="24"/>
          <w:szCs w:val="24"/>
        </w:rPr>
        <w:t xml:space="preserve">  </w:t>
      </w:r>
      <w:r w:rsidR="001D4C39" w:rsidRPr="001D4C39">
        <w:rPr>
          <w:rFonts w:ascii="Arial" w:hAnsi="Arial" w:cs="Arial"/>
          <w:sz w:val="24"/>
          <w:szCs w:val="24"/>
        </w:rPr>
        <w:t>0</w:t>
      </w:r>
      <w:r w:rsidRPr="001D4C39">
        <w:rPr>
          <w:rFonts w:ascii="Arial" w:hAnsi="Arial" w:cs="Arial"/>
          <w:sz w:val="24"/>
          <w:szCs w:val="24"/>
        </w:rPr>
        <w:t xml:space="preserve"> </w:t>
      </w:r>
    </w:p>
    <w:p w:rsidR="00FB3ACB" w:rsidRDefault="006B5A5E" w:rsidP="001D4C3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D4C39">
        <w:rPr>
          <w:rFonts w:ascii="Arial" w:hAnsi="Arial" w:cs="Arial"/>
          <w:b/>
          <w:sz w:val="24"/>
          <w:szCs w:val="24"/>
        </w:rPr>
        <w:t>Obsah článku:</w:t>
      </w:r>
      <w:r w:rsidR="002D1544" w:rsidRPr="001D4C39">
        <w:rPr>
          <w:rFonts w:ascii="Arial" w:hAnsi="Arial" w:cs="Arial"/>
          <w:sz w:val="24"/>
          <w:szCs w:val="24"/>
        </w:rPr>
        <w:t xml:space="preserve"> </w:t>
      </w:r>
      <w:r w:rsidR="00C34941" w:rsidRPr="001D4C39">
        <w:rPr>
          <w:rFonts w:ascii="Arial" w:hAnsi="Arial" w:cs="Arial"/>
          <w:sz w:val="24"/>
          <w:szCs w:val="24"/>
        </w:rPr>
        <w:t xml:space="preserve">  </w:t>
      </w:r>
    </w:p>
    <w:p w:rsidR="001D4C39" w:rsidRPr="001D4C39" w:rsidRDefault="001D4C39" w:rsidP="001D4C3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1D4C39">
        <w:rPr>
          <w:rFonts w:ascii="Arial" w:hAnsi="Arial" w:cs="Arial"/>
          <w:sz w:val="24"/>
          <w:szCs w:val="24"/>
        </w:rPr>
        <w:t>Z poznatkov praxe a výsledkov vedeckých prác je známe, že drevokazné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huby, ako aj niektoré mikroskopické huby dokážu svojim špeciálne vybaveným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 xml:space="preserve">enzymatickým aparátom s produkciou </w:t>
      </w:r>
      <w:proofErr w:type="spellStart"/>
      <w:r w:rsidRPr="001D4C39">
        <w:rPr>
          <w:rFonts w:ascii="Arial" w:hAnsi="Arial" w:cs="Arial"/>
          <w:sz w:val="24"/>
          <w:szCs w:val="24"/>
        </w:rPr>
        <w:t>celuláz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D4C39">
        <w:rPr>
          <w:rFonts w:ascii="Arial" w:hAnsi="Arial" w:cs="Arial"/>
          <w:sz w:val="24"/>
          <w:szCs w:val="24"/>
        </w:rPr>
        <w:t>xylanázy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D4C39">
        <w:rPr>
          <w:rFonts w:ascii="Arial" w:hAnsi="Arial" w:cs="Arial"/>
          <w:sz w:val="24"/>
          <w:szCs w:val="24"/>
        </w:rPr>
        <w:t>mannázy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D4C39">
        <w:rPr>
          <w:rFonts w:ascii="Arial" w:hAnsi="Arial" w:cs="Arial"/>
          <w:sz w:val="24"/>
          <w:szCs w:val="24"/>
        </w:rPr>
        <w:t>lakázy</w:t>
      </w:r>
      <w:proofErr w:type="spellEnd"/>
      <w:r w:rsidRPr="001D4C39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4C39">
        <w:rPr>
          <w:rFonts w:ascii="Arial" w:hAnsi="Arial" w:cs="Arial"/>
          <w:sz w:val="24"/>
          <w:szCs w:val="24"/>
        </w:rPr>
        <w:t>peroxydáz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 a ďalších enzýmov odbúravať všetky základné stavebné zložky dreva</w:t>
      </w:r>
      <w:r w:rsidR="00DD0E4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 xml:space="preserve">Biologický </w:t>
      </w:r>
      <w:proofErr w:type="spellStart"/>
      <w:r w:rsidRPr="001D4C39">
        <w:rPr>
          <w:rFonts w:ascii="Arial" w:hAnsi="Arial" w:cs="Arial"/>
          <w:sz w:val="24"/>
          <w:szCs w:val="24"/>
        </w:rPr>
        <w:t>drevorozkladajúci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 proces je zložitý a závisí od radu vnútorných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a vonkajš</w:t>
      </w:r>
      <w:r w:rsidR="00DD0E41">
        <w:rPr>
          <w:rFonts w:ascii="Arial" w:hAnsi="Arial" w:cs="Arial"/>
          <w:sz w:val="24"/>
          <w:szCs w:val="24"/>
        </w:rPr>
        <w:t>ích podmienok</w:t>
      </w:r>
      <w:r w:rsidRPr="001D4C39">
        <w:rPr>
          <w:rFonts w:ascii="Arial" w:hAnsi="Arial" w:cs="Arial"/>
          <w:sz w:val="24"/>
          <w:szCs w:val="24"/>
        </w:rPr>
        <w:t>. K stále hlbšiemu poznávaniu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uvedeného procesu prispievajú značnou mierou výsledky priamych výskumných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 xml:space="preserve">metód, ktorými sa stanovujú </w:t>
      </w:r>
      <w:r w:rsidR="00DD0E41">
        <w:rPr>
          <w:rFonts w:ascii="Arial" w:hAnsi="Arial" w:cs="Arial"/>
          <w:sz w:val="24"/>
          <w:szCs w:val="24"/>
        </w:rPr>
        <w:t>konkrétne zmeny v makro, </w:t>
      </w:r>
      <w:proofErr w:type="spellStart"/>
      <w:r w:rsidRPr="001D4C39">
        <w:rPr>
          <w:rFonts w:ascii="Arial" w:hAnsi="Arial" w:cs="Arial"/>
          <w:sz w:val="24"/>
          <w:szCs w:val="24"/>
        </w:rPr>
        <w:t>mikro</w:t>
      </w:r>
      <w:proofErr w:type="spellEnd"/>
      <w:r w:rsidR="00DD0E41"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4C39">
        <w:rPr>
          <w:rFonts w:ascii="Arial" w:hAnsi="Arial" w:cs="Arial"/>
          <w:sz w:val="24"/>
          <w:szCs w:val="24"/>
        </w:rPr>
        <w:t>submikroskopickej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 stavbe a v chemickej skladbe bunkových štruktúr dreva.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Priame metódy sa realizujú jednak vizuálnym posúdením dreva, a to výhodne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 xml:space="preserve">s využitím svetelnej a </w:t>
      </w:r>
      <w:proofErr w:type="spellStart"/>
      <w:r w:rsidRPr="001D4C39">
        <w:rPr>
          <w:rFonts w:ascii="Arial" w:hAnsi="Arial" w:cs="Arial"/>
          <w:sz w:val="24"/>
          <w:szCs w:val="24"/>
        </w:rPr>
        <w:t>elektrónoptickej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4C39">
        <w:rPr>
          <w:rFonts w:ascii="Arial" w:hAnsi="Arial" w:cs="Arial"/>
          <w:sz w:val="24"/>
          <w:szCs w:val="24"/>
        </w:rPr>
        <w:t>mikroskopie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 s</w:t>
      </w:r>
      <w:r>
        <w:rPr>
          <w:rFonts w:ascii="Arial" w:hAnsi="Arial" w:cs="Arial"/>
          <w:sz w:val="24"/>
          <w:szCs w:val="24"/>
        </w:rPr>
        <w:t> </w:t>
      </w:r>
      <w:r w:rsidRPr="001D4C39">
        <w:rPr>
          <w:rFonts w:ascii="Arial" w:hAnsi="Arial" w:cs="Arial"/>
          <w:sz w:val="24"/>
          <w:szCs w:val="24"/>
        </w:rPr>
        <w:t>charakterizáciou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 xml:space="preserve">napr. zmien farby dreva, stavu štiepnych lomov, typu </w:t>
      </w:r>
      <w:proofErr w:type="spellStart"/>
      <w:r w:rsidRPr="001D4C39">
        <w:rPr>
          <w:rFonts w:ascii="Arial" w:hAnsi="Arial" w:cs="Arial"/>
          <w:sz w:val="24"/>
          <w:szCs w:val="24"/>
        </w:rPr>
        <w:t>hýf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 a spôsobu ich prestupu</w:t>
      </w:r>
      <w:r>
        <w:rPr>
          <w:rFonts w:ascii="Arial" w:hAnsi="Arial" w:cs="Arial"/>
          <w:sz w:val="24"/>
          <w:szCs w:val="24"/>
        </w:rPr>
        <w:t xml:space="preserve"> drevnou </w:t>
      </w:r>
      <w:r w:rsidRPr="001D4C39">
        <w:rPr>
          <w:rFonts w:ascii="Arial" w:hAnsi="Arial" w:cs="Arial"/>
          <w:sz w:val="24"/>
          <w:szCs w:val="24"/>
        </w:rPr>
        <w:t>štruktúrou, ako aj samotných foriem rozkladu buniek v ich jednotlivých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vrstvách a stavebných zlož</w:t>
      </w:r>
      <w:r w:rsidR="00DD0E41">
        <w:rPr>
          <w:rFonts w:ascii="Arial" w:hAnsi="Arial" w:cs="Arial"/>
          <w:sz w:val="24"/>
          <w:szCs w:val="24"/>
        </w:rPr>
        <w:t xml:space="preserve">kách. </w:t>
      </w:r>
      <w:r w:rsidRPr="001D4C39">
        <w:rPr>
          <w:rFonts w:ascii="Arial" w:hAnsi="Arial" w:cs="Arial"/>
          <w:sz w:val="24"/>
          <w:szCs w:val="24"/>
        </w:rPr>
        <w:t>Kvantifikáciu vizuálne zistených zmien zabezpečujú súbežne vykonávané stanovenia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úbytkov hmotností a chemické i fyzikálno-chemické analýzy, a to s</w:t>
      </w:r>
      <w:r>
        <w:rPr>
          <w:rFonts w:ascii="Arial" w:hAnsi="Arial" w:cs="Arial"/>
          <w:sz w:val="24"/>
          <w:szCs w:val="24"/>
        </w:rPr>
        <w:t> </w:t>
      </w:r>
      <w:r w:rsidRPr="001D4C39">
        <w:rPr>
          <w:rFonts w:ascii="Arial" w:hAnsi="Arial" w:cs="Arial"/>
          <w:sz w:val="24"/>
          <w:szCs w:val="24"/>
        </w:rPr>
        <w:t>možnosťou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posúdenia nie iba zmien v zastúpení jednotlivých polymérnych a</w:t>
      </w:r>
      <w:r>
        <w:rPr>
          <w:rFonts w:ascii="Arial" w:hAnsi="Arial" w:cs="Arial"/>
          <w:sz w:val="24"/>
          <w:szCs w:val="24"/>
        </w:rPr>
        <w:t> </w:t>
      </w:r>
      <w:proofErr w:type="spellStart"/>
      <w:r w:rsidRPr="001D4C39">
        <w:rPr>
          <w:rFonts w:ascii="Arial" w:hAnsi="Arial" w:cs="Arial"/>
          <w:sz w:val="24"/>
          <w:szCs w:val="24"/>
        </w:rPr>
        <w:t>monomérnych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zložiek v dreve, ale aj s vyhodnotením ich momentálneho stavu, ako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je polymerizačný stupeň</w:t>
      </w:r>
      <w:r>
        <w:rPr>
          <w:rFonts w:ascii="Arial" w:hAnsi="Arial" w:cs="Arial"/>
          <w:sz w:val="24"/>
          <w:szCs w:val="24"/>
        </w:rPr>
        <w:t xml:space="preserve">, koncentrácia </w:t>
      </w:r>
      <w:r w:rsidR="00DD0E41" w:rsidRPr="001D4C39">
        <w:rPr>
          <w:rFonts w:ascii="Arial" w:hAnsi="Arial" w:cs="Arial"/>
          <w:sz w:val="24"/>
          <w:szCs w:val="24"/>
        </w:rPr>
        <w:t>voľných</w:t>
      </w:r>
      <w:r w:rsidRPr="001D4C39">
        <w:rPr>
          <w:rFonts w:ascii="Arial" w:hAnsi="Arial" w:cs="Arial"/>
          <w:sz w:val="24"/>
          <w:szCs w:val="24"/>
        </w:rPr>
        <w:t xml:space="preserve"> radikálov, podiel jednotlivých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 xml:space="preserve">typov funkčných skupín a ich vzájomná interakcia, </w:t>
      </w:r>
      <w:proofErr w:type="spellStart"/>
      <w:r w:rsidRPr="001D4C39">
        <w:rPr>
          <w:rFonts w:ascii="Arial" w:hAnsi="Arial" w:cs="Arial"/>
          <w:sz w:val="24"/>
          <w:szCs w:val="24"/>
        </w:rPr>
        <w:t>stereoizoméria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 a pod.</w:t>
      </w:r>
    </w:p>
    <w:p w:rsidR="00DD0E41" w:rsidRDefault="001D4C39" w:rsidP="001D4C3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1D4C39">
        <w:rPr>
          <w:rFonts w:ascii="Arial" w:hAnsi="Arial" w:cs="Arial"/>
          <w:sz w:val="24"/>
          <w:szCs w:val="24"/>
        </w:rPr>
        <w:t>Nepriame metódy určovania hniloby dreva založené na zmene jeho fyzikálnych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vlastností — hustota, kinetika a kapacita sorpcie a nasiakavosti, elektrický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odpor, útlm ultrazvukov</w:t>
      </w:r>
      <w:r w:rsidR="00DD0E41">
        <w:rPr>
          <w:rFonts w:ascii="Arial" w:hAnsi="Arial" w:cs="Arial"/>
          <w:sz w:val="24"/>
          <w:szCs w:val="24"/>
        </w:rPr>
        <w:t>ých vĺ</w:t>
      </w:r>
      <w:r w:rsidRPr="001D4C39">
        <w:rPr>
          <w:rFonts w:ascii="Arial" w:hAnsi="Arial" w:cs="Arial"/>
          <w:sz w:val="24"/>
          <w:szCs w:val="24"/>
        </w:rPr>
        <w:t>n a pod., ako aj na zmene mechanických vlastností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— húževnatosť, tvrdosť, medze pevností a moduly pružností napr. v ohybe,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š</w:t>
      </w:r>
      <w:r>
        <w:rPr>
          <w:rFonts w:ascii="Arial" w:hAnsi="Arial" w:cs="Arial"/>
          <w:sz w:val="24"/>
          <w:szCs w:val="24"/>
        </w:rPr>
        <w:t xml:space="preserve">myku, </w:t>
      </w:r>
      <w:r w:rsidRPr="001D4C39">
        <w:rPr>
          <w:rFonts w:ascii="Arial" w:hAnsi="Arial" w:cs="Arial"/>
          <w:sz w:val="24"/>
          <w:szCs w:val="24"/>
        </w:rPr>
        <w:t xml:space="preserve">tlaku, torzné moduly, konštanty tlmenia a pod. </w:t>
      </w:r>
      <w:proofErr w:type="spellStart"/>
      <w:r w:rsidRPr="001D4C39">
        <w:rPr>
          <w:rFonts w:ascii="Arial" w:hAnsi="Arial" w:cs="Arial"/>
          <w:sz w:val="24"/>
          <w:szCs w:val="24"/>
        </w:rPr>
        <w:t>Korelovateľnosť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 výsledkov z nepriamych metód s údajmi získanými pri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priamych metódach dáva súčasne nové pohľady a prístupy k riešeniam otázok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mechanizmu rozkladu dreva.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Cieľ práce bol v analýze vlastností drevín degradovaných v</w:t>
      </w:r>
      <w:r>
        <w:rPr>
          <w:rFonts w:ascii="Arial" w:hAnsi="Arial" w:cs="Arial"/>
          <w:sz w:val="24"/>
          <w:szCs w:val="24"/>
        </w:rPr>
        <w:t> </w:t>
      </w:r>
      <w:r w:rsidRPr="001D4C39">
        <w:rPr>
          <w:rFonts w:ascii="Arial" w:hAnsi="Arial" w:cs="Arial"/>
          <w:sz w:val="24"/>
          <w:szCs w:val="24"/>
        </w:rPr>
        <w:t>laboratórnych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 xml:space="preserve">podmienkach </w:t>
      </w:r>
      <w:proofErr w:type="spellStart"/>
      <w:r w:rsidRPr="001D4C39">
        <w:rPr>
          <w:rFonts w:ascii="Arial" w:hAnsi="Arial" w:cs="Arial"/>
          <w:sz w:val="24"/>
          <w:szCs w:val="24"/>
        </w:rPr>
        <w:t>celulózovornou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 drevokaznou hubou </w:t>
      </w:r>
      <w:proofErr w:type="spellStart"/>
      <w:r w:rsidRPr="001D4C39">
        <w:rPr>
          <w:rFonts w:ascii="Arial" w:hAnsi="Arial" w:cs="Arial"/>
          <w:i/>
          <w:iCs/>
          <w:sz w:val="24"/>
          <w:szCs w:val="24"/>
        </w:rPr>
        <w:t>Serpula</w:t>
      </w:r>
      <w:proofErr w:type="spellEnd"/>
      <w:r w:rsidRPr="001D4C39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1D4C39">
        <w:rPr>
          <w:rFonts w:ascii="Arial" w:hAnsi="Arial" w:cs="Arial"/>
          <w:i/>
          <w:iCs/>
          <w:sz w:val="24"/>
          <w:szCs w:val="24"/>
        </w:rPr>
        <w:t>lacrymans</w:t>
      </w:r>
      <w:proofErr w:type="spellEnd"/>
      <w:r w:rsidRPr="001D4C39">
        <w:rPr>
          <w:rFonts w:ascii="Arial" w:hAnsi="Arial" w:cs="Arial"/>
          <w:i/>
          <w:iCs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, ktorá vďaka svojim nízkym nárokom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na vodu, keď k jej aktivite postačuje vlhkosť dreva 16 %</w:t>
      </w:r>
      <w:r w:rsidR="00DD0E41">
        <w:rPr>
          <w:rFonts w:ascii="Arial" w:hAnsi="Arial" w:cs="Arial"/>
          <w:sz w:val="24"/>
          <w:szCs w:val="24"/>
        </w:rPr>
        <w:t>.</w:t>
      </w:r>
    </w:p>
    <w:p w:rsidR="001D4C39" w:rsidRPr="001D4C39" w:rsidRDefault="001D4C39" w:rsidP="001D4C3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1D4C39">
        <w:rPr>
          <w:rFonts w:ascii="Arial" w:hAnsi="Arial" w:cs="Arial"/>
          <w:sz w:val="24"/>
          <w:szCs w:val="24"/>
        </w:rPr>
        <w:t>Hniloba dreva je spojená s narúšaním jeho štruktúry na úrovni chemických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 xml:space="preserve">stavebných zložiek v </w:t>
      </w:r>
      <w:proofErr w:type="spellStart"/>
      <w:r w:rsidRPr="001D4C39">
        <w:rPr>
          <w:rFonts w:ascii="Arial" w:hAnsi="Arial" w:cs="Arial"/>
          <w:sz w:val="24"/>
          <w:szCs w:val="24"/>
        </w:rPr>
        <w:t>submikro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1D4C39">
        <w:rPr>
          <w:rFonts w:ascii="Arial" w:hAnsi="Arial" w:cs="Arial"/>
          <w:sz w:val="24"/>
          <w:szCs w:val="24"/>
        </w:rPr>
        <w:t>mi</w:t>
      </w:r>
      <w:r>
        <w:rPr>
          <w:rFonts w:ascii="Arial" w:hAnsi="Arial" w:cs="Arial"/>
          <w:sz w:val="24"/>
          <w:szCs w:val="24"/>
        </w:rPr>
        <w:t>kro</w:t>
      </w:r>
      <w:proofErr w:type="spellEnd"/>
      <w:r>
        <w:rPr>
          <w:rFonts w:ascii="Arial" w:hAnsi="Arial" w:cs="Arial"/>
          <w:sz w:val="24"/>
          <w:szCs w:val="24"/>
        </w:rPr>
        <w:t xml:space="preserve"> elementoch bunkových stien. </w:t>
      </w:r>
      <w:r w:rsidRPr="001D4C39">
        <w:rPr>
          <w:rFonts w:ascii="Arial" w:hAnsi="Arial" w:cs="Arial"/>
          <w:sz w:val="24"/>
          <w:szCs w:val="24"/>
        </w:rPr>
        <w:lastRenderedPageBreak/>
        <w:t>Mikroskopickými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sledovaniami sa dá s vysokou mierou zodpovednosti indikovať stav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narušenia bunkových štruktúr až od úbytkov hmotnosti 5 až</w:t>
      </w:r>
      <w:r w:rsidR="00DD0E41">
        <w:rPr>
          <w:rFonts w:ascii="Arial" w:hAnsi="Arial" w:cs="Arial"/>
          <w:sz w:val="24"/>
          <w:szCs w:val="24"/>
        </w:rPr>
        <w:t xml:space="preserve"> 10 %</w:t>
      </w:r>
      <w:r>
        <w:rPr>
          <w:rFonts w:ascii="Arial" w:hAnsi="Arial" w:cs="Arial"/>
          <w:sz w:val="24"/>
          <w:szCs w:val="24"/>
        </w:rPr>
        <w:t xml:space="preserve">. </w:t>
      </w:r>
      <w:r w:rsidRPr="001D4C39">
        <w:rPr>
          <w:rFonts w:ascii="Arial" w:hAnsi="Arial" w:cs="Arial"/>
          <w:sz w:val="24"/>
          <w:szCs w:val="24"/>
        </w:rPr>
        <w:t>Pri bežnej kontrole dreva sa s uplatnením mikroskopických metód v</w:t>
      </w:r>
      <w:r>
        <w:rPr>
          <w:rFonts w:ascii="Arial" w:hAnsi="Arial" w:cs="Arial"/>
          <w:sz w:val="24"/>
          <w:szCs w:val="24"/>
        </w:rPr>
        <w:t> </w:t>
      </w:r>
      <w:r w:rsidRPr="001D4C39">
        <w:rPr>
          <w:rFonts w:ascii="Arial" w:hAnsi="Arial" w:cs="Arial"/>
          <w:sz w:val="24"/>
          <w:szCs w:val="24"/>
        </w:rPr>
        <w:t>súčasnosti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počítať vždy nedá. Aplikácia nepriamych metód využívajúcich zmeny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v mechanických vlastnostiach dreva</w:t>
      </w:r>
      <w:r w:rsidR="00DD0E41">
        <w:rPr>
          <w:rFonts w:ascii="Arial" w:hAnsi="Arial" w:cs="Arial"/>
          <w:sz w:val="24"/>
          <w:szCs w:val="24"/>
        </w:rPr>
        <w:t>, preto je stále aktuálna.  S</w:t>
      </w:r>
      <w:r w:rsidRPr="001D4C39">
        <w:rPr>
          <w:rFonts w:ascii="Arial" w:hAnsi="Arial" w:cs="Arial"/>
          <w:sz w:val="24"/>
          <w:szCs w:val="24"/>
        </w:rPr>
        <w:t xml:space="preserve"> postupom deštruktívnych a korozívnych typov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 xml:space="preserve">hnilôb sa z </w:t>
      </w:r>
      <w:r w:rsidRPr="00DD0E41">
        <w:rPr>
          <w:rFonts w:ascii="Arial" w:hAnsi="Arial" w:cs="Arial"/>
          <w:sz w:val="24"/>
          <w:szCs w:val="24"/>
        </w:rPr>
        <w:t xml:space="preserve">mechanických vlastností dreva znižuje najviac húževnatosť. Poklesy </w:t>
      </w:r>
      <w:r w:rsidRPr="00DD0E41">
        <w:rPr>
          <w:rFonts w:ascii="Arial" w:hAnsi="Arial" w:cs="Arial"/>
          <w:bCs/>
          <w:sz w:val="24"/>
          <w:szCs w:val="24"/>
        </w:rPr>
        <w:t>rázovej húževnatosti</w:t>
      </w:r>
      <w:r w:rsidRPr="001D4C39">
        <w:rPr>
          <w:rFonts w:ascii="Arial" w:hAnsi="Arial" w:cs="Arial"/>
          <w:b/>
          <w:bCs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v ohybe následkom hniloby drevín sa sledovali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aj v rámci práce a najvýstižnejšie sa charakterizovali logaritmickými závislosťami</w:t>
      </w:r>
      <w:r w:rsidR="00DD0E41">
        <w:rPr>
          <w:rFonts w:ascii="Arial" w:hAnsi="Arial" w:cs="Arial"/>
          <w:sz w:val="24"/>
          <w:szCs w:val="24"/>
        </w:rPr>
        <w:t>.</w:t>
      </w:r>
      <w:r w:rsidRPr="001D4C39">
        <w:rPr>
          <w:rFonts w:ascii="Arial" w:hAnsi="Arial" w:cs="Arial"/>
          <w:sz w:val="24"/>
          <w:szCs w:val="24"/>
        </w:rPr>
        <w:t xml:space="preserve"> Väčšie rozdiely v intenzitách poklesu húževnatosti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sa nezistili tak v rámci vlhkostných hladín, ako ani v rámci drevín.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Z hľadiska vplyvu vlhkostí sa v sume drevín lipy, buka a javora pri úbytkoch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hmotností 10% stanovili poklesy húževnatostí o 76,4% pre a.s. stav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drevín o 81,2 % pre 9 % vlhkosť drevín, o 82,9 % pre 15% vlhkosť drevín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a o 81,8 % pre vlhkosť drevín nad medzou hygroskopicity</w:t>
      </w:r>
      <w:r w:rsidR="00DD0E41">
        <w:rPr>
          <w:rFonts w:ascii="Arial" w:hAnsi="Arial" w:cs="Arial"/>
          <w:sz w:val="24"/>
          <w:szCs w:val="24"/>
        </w:rPr>
        <w:t xml:space="preserve">. </w:t>
      </w:r>
      <w:r w:rsidRPr="001D4C39">
        <w:rPr>
          <w:rFonts w:ascii="Arial" w:hAnsi="Arial" w:cs="Arial"/>
          <w:sz w:val="24"/>
          <w:szCs w:val="24"/>
        </w:rPr>
        <w:t>V práci získaný poznatok, dotýkajúci sa zjavnej nezávislosti intenzity poklesu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húževnatostí (dynamická mechanická vlastnosť) od konkrétneho vlhkostného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stavu hnilého dreva, sa ukázal byť v protiklade so známymi spojitosťami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medzi zvyšujúcim sa vlhkostným stavom dreva po medzu hygroskopicity</w:t>
      </w:r>
      <w:r>
        <w:rPr>
          <w:rFonts w:ascii="Arial" w:hAnsi="Arial" w:cs="Arial"/>
          <w:sz w:val="24"/>
          <w:szCs w:val="24"/>
        </w:rPr>
        <w:t xml:space="preserve"> a </w:t>
      </w:r>
      <w:r w:rsidRPr="001D4C39">
        <w:rPr>
          <w:rFonts w:ascii="Arial" w:hAnsi="Arial" w:cs="Arial"/>
          <w:sz w:val="24"/>
          <w:szCs w:val="24"/>
        </w:rPr>
        <w:t>výraznejšou mierou poklesu jeho stati</w:t>
      </w:r>
      <w:r>
        <w:rPr>
          <w:rFonts w:ascii="Arial" w:hAnsi="Arial" w:cs="Arial"/>
          <w:sz w:val="24"/>
          <w:szCs w:val="24"/>
        </w:rPr>
        <w:t xml:space="preserve">ckých mechanických vlastností v </w:t>
      </w:r>
      <w:r w:rsidRPr="001D4C39">
        <w:rPr>
          <w:rFonts w:ascii="Arial" w:hAnsi="Arial" w:cs="Arial"/>
          <w:sz w:val="24"/>
          <w:szCs w:val="24"/>
        </w:rPr>
        <w:t>„neprirodzenom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stave", t. j.  zvýš</w:t>
      </w:r>
      <w:r w:rsidR="00DD0E41">
        <w:rPr>
          <w:rFonts w:ascii="Arial" w:hAnsi="Arial" w:cs="Arial"/>
          <w:sz w:val="24"/>
          <w:szCs w:val="24"/>
        </w:rPr>
        <w:t>ená teplota,</w:t>
      </w:r>
      <w:r w:rsidRPr="001D4C39">
        <w:rPr>
          <w:rFonts w:ascii="Arial" w:hAnsi="Arial" w:cs="Arial"/>
          <w:sz w:val="24"/>
          <w:szCs w:val="24"/>
        </w:rPr>
        <w:t xml:space="preserve"> </w:t>
      </w:r>
      <w:r w:rsidR="00DD0E41">
        <w:rPr>
          <w:rFonts w:ascii="Arial" w:hAnsi="Arial" w:cs="Arial"/>
          <w:sz w:val="24"/>
          <w:szCs w:val="24"/>
        </w:rPr>
        <w:t>chemická korózia,</w:t>
      </w:r>
      <w:r w:rsidRPr="001D4C39">
        <w:rPr>
          <w:rFonts w:ascii="Arial" w:hAnsi="Arial" w:cs="Arial"/>
          <w:sz w:val="24"/>
          <w:szCs w:val="24"/>
        </w:rPr>
        <w:t xml:space="preserve"> anaeróbna dlhodobá korózia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vo vode</w:t>
      </w:r>
      <w:r w:rsidR="00DD0E41">
        <w:rPr>
          <w:rFonts w:ascii="Arial" w:hAnsi="Arial" w:cs="Arial"/>
          <w:sz w:val="24"/>
          <w:szCs w:val="24"/>
        </w:rPr>
        <w:t xml:space="preserve">, </w:t>
      </w:r>
      <w:r w:rsidRPr="001D4C39">
        <w:rPr>
          <w:rFonts w:ascii="Arial" w:hAnsi="Arial" w:cs="Arial"/>
          <w:sz w:val="24"/>
          <w:szCs w:val="24"/>
        </w:rPr>
        <w:t xml:space="preserve"> hniloba. Uvedenú anomáliu pri húževnatosti možno vysvetliť aj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na základe predpokladu uplatňovania sa súčasne dvoch protichodných javov:</w:t>
      </w:r>
    </w:p>
    <w:p w:rsidR="001D4C39" w:rsidRPr="001D4C39" w:rsidRDefault="001D4C39" w:rsidP="001D4C3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1D4C39">
        <w:rPr>
          <w:rFonts w:ascii="Arial" w:hAnsi="Arial" w:cs="Arial"/>
          <w:sz w:val="24"/>
          <w:szCs w:val="24"/>
        </w:rPr>
        <w:t xml:space="preserve">— </w:t>
      </w:r>
      <w:proofErr w:type="spellStart"/>
      <w:r w:rsidRPr="001D4C39">
        <w:rPr>
          <w:rFonts w:ascii="Arial" w:hAnsi="Arial" w:cs="Arial"/>
          <w:sz w:val="24"/>
          <w:szCs w:val="24"/>
        </w:rPr>
        <w:t>van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1D4C39">
        <w:rPr>
          <w:rFonts w:ascii="Arial" w:hAnsi="Arial" w:cs="Arial"/>
          <w:sz w:val="24"/>
          <w:szCs w:val="24"/>
        </w:rPr>
        <w:t>Waalsove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 sily a vodíkové väzby sa na spevnení narušenej</w:t>
      </w:r>
      <w:r w:rsidR="00DD0E41"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bunkovej štruktúry podieľ</w:t>
      </w:r>
      <w:r w:rsidR="00DD0E41">
        <w:rPr>
          <w:rFonts w:ascii="Arial" w:hAnsi="Arial" w:cs="Arial"/>
          <w:sz w:val="24"/>
          <w:szCs w:val="24"/>
        </w:rPr>
        <w:t>ajú viac v suchom stave dreva</w:t>
      </w:r>
    </w:p>
    <w:p w:rsidR="001D4C39" w:rsidRPr="001D4C39" w:rsidRDefault="001D4C39" w:rsidP="001D4C3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D4C39">
        <w:rPr>
          <w:rFonts w:ascii="Arial" w:hAnsi="Arial" w:cs="Arial"/>
          <w:sz w:val="24"/>
          <w:szCs w:val="24"/>
        </w:rPr>
        <w:t xml:space="preserve">— krehkosť bunkových stien vyvolaná </w:t>
      </w:r>
      <w:proofErr w:type="spellStart"/>
      <w:r w:rsidRPr="001D4C39">
        <w:rPr>
          <w:rFonts w:ascii="Arial" w:hAnsi="Arial" w:cs="Arial"/>
          <w:sz w:val="24"/>
          <w:szCs w:val="24"/>
        </w:rPr>
        <w:t>depolymerizáciou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 polysacharidov</w:t>
      </w:r>
      <w:r>
        <w:rPr>
          <w:rFonts w:ascii="Arial" w:hAnsi="Arial" w:cs="Arial"/>
          <w:sz w:val="24"/>
          <w:szCs w:val="24"/>
        </w:rPr>
        <w:t xml:space="preserve"> má </w:t>
      </w:r>
      <w:r w:rsidRPr="001D4C39">
        <w:rPr>
          <w:rFonts w:ascii="Arial" w:hAnsi="Arial" w:cs="Arial"/>
          <w:sz w:val="24"/>
          <w:szCs w:val="24"/>
        </w:rPr>
        <w:t>tendenciu prejaviť sa výraznejšie tiež v suchom stave dreva, keď molekuly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vody už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 xml:space="preserve">medzi elementárni bunkových stien nevytvárajú </w:t>
      </w:r>
      <w:proofErr w:type="spellStart"/>
      <w:r w:rsidRPr="001D4C39">
        <w:rPr>
          <w:rFonts w:ascii="Arial" w:hAnsi="Arial" w:cs="Arial"/>
          <w:sz w:val="24"/>
          <w:szCs w:val="24"/>
        </w:rPr>
        <w:t>medzivrstvové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 tlmiace</w:t>
      </w:r>
      <w:r>
        <w:rPr>
          <w:rFonts w:ascii="Arial" w:hAnsi="Arial" w:cs="Arial"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zóny.</w:t>
      </w:r>
    </w:p>
    <w:p w:rsidR="001D4C39" w:rsidRPr="001D4C39" w:rsidRDefault="001D4C39" w:rsidP="001D4C3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  <w:sz w:val="24"/>
          <w:szCs w:val="24"/>
        </w:rPr>
      </w:pPr>
      <w:r w:rsidRPr="001D4C39">
        <w:rPr>
          <w:rFonts w:ascii="Arial" w:hAnsi="Arial" w:cs="Arial"/>
          <w:sz w:val="24"/>
          <w:szCs w:val="24"/>
        </w:rPr>
        <w:t xml:space="preserve">Následkom činnosti </w:t>
      </w:r>
      <w:proofErr w:type="spellStart"/>
      <w:r w:rsidRPr="001D4C39">
        <w:rPr>
          <w:rFonts w:ascii="Arial" w:hAnsi="Arial" w:cs="Arial"/>
          <w:sz w:val="24"/>
          <w:szCs w:val="24"/>
        </w:rPr>
        <w:t>celulózovornej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4C39">
        <w:rPr>
          <w:rFonts w:ascii="Arial" w:hAnsi="Arial" w:cs="Arial"/>
          <w:sz w:val="24"/>
          <w:szCs w:val="24"/>
        </w:rPr>
        <w:t>drevorozkladajúcej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 huby </w:t>
      </w:r>
      <w:proofErr w:type="spellStart"/>
      <w:r w:rsidRPr="001D4C39">
        <w:rPr>
          <w:rFonts w:ascii="Arial" w:hAnsi="Arial" w:cs="Arial"/>
          <w:i/>
          <w:iCs/>
          <w:sz w:val="24"/>
          <w:szCs w:val="24"/>
        </w:rPr>
        <w:t>Serpula</w:t>
      </w:r>
      <w:proofErr w:type="spellEnd"/>
      <w:r w:rsidRPr="001D4C39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1D4C39">
        <w:rPr>
          <w:rFonts w:ascii="Arial" w:hAnsi="Arial" w:cs="Arial"/>
          <w:i/>
          <w:iCs/>
          <w:sz w:val="24"/>
          <w:szCs w:val="24"/>
        </w:rPr>
        <w:t>lacrymans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nastal pri drevinách lipy, buka a javora intenzívny pokles rázovej húževnatosti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v ohybe. Uvedená dynamická mechanická vlastnosť sa znížila výrazne už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v začiatočných štádiách hniloby. Pokles hodnôt húževnatosti k úbytkom hmotnosti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dreva sa definoval logaritmickými typmi závislosti, keď napr. pri 5 %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úbytkoch hmotnosti drevín sa zistilo zníženie húževnatosti o 56,2 až 83,3 %.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Pokles pevnosti v tlaku rovnobežne s vláknami bol podstatne miernejší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a rovnomerný v celom intervale hniloby do úbytkov hmotnosti drevín 20 až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25 %. Na druhej strane sa pri pevnosti v tlaku stanovila významná závislosť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medzi intenzitou jej poklesu a vlhkosťou hnilého dreva. Najintenzívnejší pokles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bol jednoznačne pri vlhkosti nad medzou hygroskopicity. Uvedené zistenie je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v súlade s poznaním, ž</w:t>
      </w:r>
      <w:r>
        <w:rPr>
          <w:rFonts w:ascii="Arial" w:hAnsi="Arial" w:cs="Arial"/>
          <w:sz w:val="24"/>
          <w:szCs w:val="24"/>
        </w:rPr>
        <w:t xml:space="preserve">e miera zmien pevností </w:t>
      </w:r>
      <w:r w:rsidRPr="001D4C39">
        <w:rPr>
          <w:rFonts w:ascii="Arial" w:hAnsi="Arial" w:cs="Arial"/>
          <w:sz w:val="24"/>
          <w:szCs w:val="24"/>
        </w:rPr>
        <w:t>následkom narušenia štruktúr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 xml:space="preserve">dreva — drevo hydrolyzované, chemicky </w:t>
      </w:r>
      <w:proofErr w:type="spellStart"/>
      <w:r w:rsidRPr="001D4C39">
        <w:rPr>
          <w:rFonts w:ascii="Arial" w:hAnsi="Arial" w:cs="Arial"/>
          <w:sz w:val="24"/>
          <w:szCs w:val="24"/>
        </w:rPr>
        <w:t>korodované</w:t>
      </w:r>
      <w:proofErr w:type="spellEnd"/>
      <w:r w:rsidRPr="001D4C39">
        <w:rPr>
          <w:rFonts w:ascii="Arial" w:hAnsi="Arial" w:cs="Arial"/>
          <w:sz w:val="24"/>
          <w:szCs w:val="24"/>
        </w:rPr>
        <w:t>, hnilé a pod., závisí aj od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jeho momentálneho vlhkostného stavu.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Pri chemických rozboroch sa v hnilom dreve zistili podstatne výraznejšie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 xml:space="preserve">úbytky holocelulózy a najmä </w:t>
      </w:r>
      <w:proofErr w:type="spellStart"/>
      <w:r w:rsidRPr="001D4C39">
        <w:rPr>
          <w:rFonts w:ascii="Arial" w:hAnsi="Arial" w:cs="Arial"/>
          <w:sz w:val="24"/>
          <w:szCs w:val="24"/>
        </w:rPr>
        <w:t>a-celulózy</w:t>
      </w:r>
      <w:proofErr w:type="spellEnd"/>
      <w:r w:rsidRPr="001D4C39">
        <w:rPr>
          <w:rFonts w:ascii="Arial" w:hAnsi="Arial" w:cs="Arial"/>
          <w:sz w:val="24"/>
          <w:szCs w:val="24"/>
        </w:rPr>
        <w:t>, vzhľadom na stanovené hmotnostné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úbytky dreva. Nepriamo sa tým </w:t>
      </w:r>
      <w:r w:rsidRPr="001D4C39">
        <w:rPr>
          <w:rFonts w:ascii="Arial" w:hAnsi="Arial" w:cs="Arial"/>
          <w:sz w:val="24"/>
          <w:szCs w:val="24"/>
        </w:rPr>
        <w:t xml:space="preserve">poukázalo na procesy </w:t>
      </w:r>
      <w:proofErr w:type="spellStart"/>
      <w:r w:rsidRPr="001D4C39">
        <w:rPr>
          <w:rFonts w:ascii="Arial" w:hAnsi="Arial" w:cs="Arial"/>
          <w:sz w:val="24"/>
          <w:szCs w:val="24"/>
        </w:rPr>
        <w:t>depolymerizácie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 aj tých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>polysacharidov, ktoré sa v procese hniloby z dreva totálne neodbúrali. V</w:t>
      </w:r>
      <w:r>
        <w:rPr>
          <w:rFonts w:ascii="Arial" w:hAnsi="Arial" w:cs="Arial"/>
          <w:sz w:val="24"/>
          <w:szCs w:val="24"/>
        </w:rPr>
        <w:t> </w:t>
      </w:r>
      <w:r w:rsidRPr="001D4C39">
        <w:rPr>
          <w:rFonts w:ascii="Arial" w:hAnsi="Arial" w:cs="Arial"/>
          <w:sz w:val="24"/>
          <w:szCs w:val="24"/>
        </w:rPr>
        <w:t>spojitosti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 xml:space="preserve">s tým stanovenie </w:t>
      </w:r>
      <w:proofErr w:type="spellStart"/>
      <w:r w:rsidRPr="001D4C39">
        <w:rPr>
          <w:rFonts w:ascii="Arial" w:hAnsi="Arial" w:cs="Arial"/>
          <w:sz w:val="24"/>
          <w:szCs w:val="24"/>
        </w:rPr>
        <w:t>a-celulózy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 mož</w:t>
      </w:r>
      <w:r>
        <w:rPr>
          <w:rFonts w:ascii="Arial" w:hAnsi="Arial" w:cs="Arial"/>
          <w:sz w:val="24"/>
          <w:szCs w:val="24"/>
        </w:rPr>
        <w:t xml:space="preserve">no </w:t>
      </w:r>
      <w:r w:rsidRPr="001D4C39">
        <w:rPr>
          <w:rFonts w:ascii="Arial" w:hAnsi="Arial" w:cs="Arial"/>
          <w:sz w:val="24"/>
          <w:szCs w:val="24"/>
        </w:rPr>
        <w:lastRenderedPageBreak/>
        <w:t>využiť ako jednu z netradičných metód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1D4C39">
        <w:rPr>
          <w:rFonts w:ascii="Arial" w:hAnsi="Arial" w:cs="Arial"/>
          <w:sz w:val="24"/>
          <w:szCs w:val="24"/>
        </w:rPr>
        <w:t xml:space="preserve">na definovanie štádií rozkladu dreva </w:t>
      </w:r>
      <w:proofErr w:type="spellStart"/>
      <w:r w:rsidRPr="001D4C39">
        <w:rPr>
          <w:rFonts w:ascii="Arial" w:hAnsi="Arial" w:cs="Arial"/>
          <w:sz w:val="24"/>
          <w:szCs w:val="24"/>
        </w:rPr>
        <w:t>celulózovornými</w:t>
      </w:r>
      <w:proofErr w:type="spellEnd"/>
      <w:r w:rsidRPr="001D4C39">
        <w:rPr>
          <w:rFonts w:ascii="Arial" w:hAnsi="Arial" w:cs="Arial"/>
          <w:sz w:val="24"/>
          <w:szCs w:val="24"/>
        </w:rPr>
        <w:t xml:space="preserve"> hubami.</w:t>
      </w:r>
    </w:p>
    <w:p w:rsidR="00EB6B93" w:rsidRPr="001D4C39" w:rsidRDefault="00EB6B93" w:rsidP="001D4C3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01210" w:rsidRPr="001D4C39" w:rsidRDefault="00B01210" w:rsidP="001D4C3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1D4C39">
        <w:rPr>
          <w:rFonts w:ascii="Arial" w:hAnsi="Arial" w:cs="Arial"/>
          <w:b/>
          <w:sz w:val="24"/>
          <w:szCs w:val="24"/>
        </w:rPr>
        <w:t>Kľúčové slová:</w:t>
      </w:r>
      <w:r w:rsidRPr="001D4C39">
        <w:rPr>
          <w:rFonts w:ascii="Arial" w:hAnsi="Arial" w:cs="Arial"/>
          <w:sz w:val="24"/>
          <w:szCs w:val="24"/>
        </w:rPr>
        <w:t xml:space="preserve">   </w:t>
      </w:r>
      <w:r w:rsidR="001D4C39" w:rsidRPr="001D4C39">
        <w:rPr>
          <w:rFonts w:ascii="Arial" w:hAnsi="Arial" w:cs="Arial"/>
          <w:sz w:val="24"/>
          <w:szCs w:val="24"/>
        </w:rPr>
        <w:t xml:space="preserve">pevnosť v tlaku,  rázová húževnatosť v ohybe,  vlhkostná hladina dreva, </w:t>
      </w:r>
      <w:proofErr w:type="spellStart"/>
      <w:r w:rsidR="001D4C39" w:rsidRPr="001D4C39">
        <w:rPr>
          <w:rFonts w:ascii="Arial" w:hAnsi="Arial" w:cs="Arial"/>
          <w:sz w:val="24"/>
          <w:szCs w:val="24"/>
        </w:rPr>
        <w:t>holocelulóza</w:t>
      </w:r>
      <w:proofErr w:type="spellEnd"/>
      <w:r w:rsidR="001D4C39" w:rsidRPr="001D4C39">
        <w:rPr>
          <w:rFonts w:ascii="Arial" w:hAnsi="Arial" w:cs="Arial"/>
          <w:sz w:val="24"/>
          <w:szCs w:val="24"/>
        </w:rPr>
        <w:t>, extraktívne látky</w:t>
      </w:r>
    </w:p>
    <w:p w:rsidR="00F91C86" w:rsidRPr="00F91C86" w:rsidRDefault="00F91C86" w:rsidP="00F91C8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sectPr w:rsidR="00F91C86" w:rsidRPr="00F91C86" w:rsidSect="00AB23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B01210"/>
    <w:rsid w:val="00090CCA"/>
    <w:rsid w:val="0009477D"/>
    <w:rsid w:val="000B19ED"/>
    <w:rsid w:val="000C64D0"/>
    <w:rsid w:val="001D4C39"/>
    <w:rsid w:val="00206397"/>
    <w:rsid w:val="00230053"/>
    <w:rsid w:val="00270F01"/>
    <w:rsid w:val="00281E8E"/>
    <w:rsid w:val="00286E93"/>
    <w:rsid w:val="002D1544"/>
    <w:rsid w:val="002F6D34"/>
    <w:rsid w:val="0030657A"/>
    <w:rsid w:val="00377742"/>
    <w:rsid w:val="003830CE"/>
    <w:rsid w:val="0038696C"/>
    <w:rsid w:val="003A7956"/>
    <w:rsid w:val="003B147E"/>
    <w:rsid w:val="003D30FD"/>
    <w:rsid w:val="003E6F9D"/>
    <w:rsid w:val="003F4FE0"/>
    <w:rsid w:val="004961AC"/>
    <w:rsid w:val="005B1507"/>
    <w:rsid w:val="005F1254"/>
    <w:rsid w:val="005F2C01"/>
    <w:rsid w:val="006A30E0"/>
    <w:rsid w:val="006B5A5E"/>
    <w:rsid w:val="006D2B5C"/>
    <w:rsid w:val="007137D7"/>
    <w:rsid w:val="00726F10"/>
    <w:rsid w:val="00737609"/>
    <w:rsid w:val="00765A3E"/>
    <w:rsid w:val="00771DA6"/>
    <w:rsid w:val="007819E9"/>
    <w:rsid w:val="007D23AA"/>
    <w:rsid w:val="0080196F"/>
    <w:rsid w:val="0081621B"/>
    <w:rsid w:val="0082056B"/>
    <w:rsid w:val="00886AA6"/>
    <w:rsid w:val="008B7AF8"/>
    <w:rsid w:val="008D332E"/>
    <w:rsid w:val="00A4553F"/>
    <w:rsid w:val="00A55E8F"/>
    <w:rsid w:val="00A55ECD"/>
    <w:rsid w:val="00A85A12"/>
    <w:rsid w:val="00AB23C4"/>
    <w:rsid w:val="00AC6172"/>
    <w:rsid w:val="00B01210"/>
    <w:rsid w:val="00B36FA3"/>
    <w:rsid w:val="00B62F84"/>
    <w:rsid w:val="00B83DA1"/>
    <w:rsid w:val="00B84D88"/>
    <w:rsid w:val="00B87E2A"/>
    <w:rsid w:val="00C34941"/>
    <w:rsid w:val="00C670DA"/>
    <w:rsid w:val="00C920D8"/>
    <w:rsid w:val="00CC7AC7"/>
    <w:rsid w:val="00CE5D6F"/>
    <w:rsid w:val="00D14CAE"/>
    <w:rsid w:val="00D577DD"/>
    <w:rsid w:val="00D664A9"/>
    <w:rsid w:val="00D753E4"/>
    <w:rsid w:val="00D87EA9"/>
    <w:rsid w:val="00DA1233"/>
    <w:rsid w:val="00DD0E41"/>
    <w:rsid w:val="00E04F62"/>
    <w:rsid w:val="00E43C49"/>
    <w:rsid w:val="00E503E9"/>
    <w:rsid w:val="00EB6B93"/>
    <w:rsid w:val="00F04F76"/>
    <w:rsid w:val="00F32A8C"/>
    <w:rsid w:val="00F435B9"/>
    <w:rsid w:val="00F91C86"/>
    <w:rsid w:val="00FB3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B23C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B01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2012-08-07T10:36:00Z</dcterms:created>
  <dcterms:modified xsi:type="dcterms:W3CDTF">2012-08-07T10:36:00Z</dcterms:modified>
</cp:coreProperties>
</file>